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2F2" w:rsidRPr="004A6A82" w:rsidRDefault="00B562F2" w:rsidP="00B562F2">
      <w:pPr>
        <w:pStyle w:val="Corpodetexto"/>
        <w:spacing w:after="0" w:line="360" w:lineRule="auto"/>
        <w:ind w:firstLine="426"/>
        <w:rPr>
          <w:rFonts w:ascii="Times New Roman" w:hAnsi="Times New Roman" w:cs="Times New Roman"/>
          <w:lang w:val="pt-BR"/>
        </w:rPr>
      </w:pPr>
    </w:p>
    <w:p w:rsidR="00B562F2" w:rsidRPr="004A6A82" w:rsidRDefault="00B562F2" w:rsidP="00B562F2">
      <w:pPr>
        <w:pStyle w:val="Corpodetexto"/>
        <w:spacing w:after="0" w:line="360" w:lineRule="auto"/>
        <w:jc w:val="center"/>
        <w:rPr>
          <w:rFonts w:ascii="Times New Roman" w:hAnsi="Times New Roman" w:cs="Times New Roman"/>
          <w:lang w:val="pt-BR"/>
        </w:rPr>
      </w:pPr>
      <w:r w:rsidRPr="004A6A82">
        <w:rPr>
          <w:rFonts w:ascii="Times New Roman" w:hAnsi="Times New Roman" w:cs="Times New Roman"/>
          <w:noProof/>
          <w:lang w:val="pt-BR" w:eastAsia="pt-BR"/>
        </w:rPr>
        <w:drawing>
          <wp:inline distT="0" distB="0" distL="0" distR="0" wp14:anchorId="5E3281B4" wp14:editId="52A6AD75">
            <wp:extent cx="5953125" cy="3981450"/>
            <wp:effectExtent l="0" t="0" r="9525" b="0"/>
            <wp:docPr id="4" name="Grá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B562F2" w:rsidRPr="004A6A82" w:rsidRDefault="00B562F2" w:rsidP="00B562F2">
      <w:pPr>
        <w:pStyle w:val="Legenda"/>
        <w:keepNext/>
        <w:spacing w:after="0" w:line="360" w:lineRule="auto"/>
        <w:rPr>
          <w:rFonts w:ascii="Times New Roman" w:hAnsi="Times New Roman"/>
          <w:i w:val="0"/>
          <w:color w:val="000000" w:themeColor="text1"/>
          <w:sz w:val="20"/>
        </w:rPr>
      </w:pPr>
      <w:proofErr w:type="spellStart"/>
      <w:r w:rsidRPr="004A6A82">
        <w:rPr>
          <w:rStyle w:val="CimodeCaptionChar"/>
          <w:rFonts w:ascii="Times New Roman" w:eastAsia="Calibri" w:hAnsi="Times New Roman"/>
          <w:b w:val="0"/>
          <w:bCs/>
          <w:sz w:val="20"/>
        </w:rPr>
        <w:t>Figura</w:t>
      </w:r>
      <w:proofErr w:type="spellEnd"/>
      <w:r w:rsidRPr="004A6A82">
        <w:rPr>
          <w:rStyle w:val="CimodeCaptionChar"/>
          <w:rFonts w:ascii="Times New Roman" w:eastAsia="Calibri" w:hAnsi="Times New Roman"/>
          <w:b w:val="0"/>
          <w:bCs/>
          <w:sz w:val="20"/>
        </w:rPr>
        <w:t xml:space="preserve"> 1.</w:t>
      </w:r>
      <w:r w:rsidRPr="004A6A82">
        <w:rPr>
          <w:rStyle w:val="CimodeCaptionChar"/>
          <w:rFonts w:ascii="Times New Roman" w:eastAsia="Calibri" w:hAnsi="Times New Roman"/>
          <w:bCs/>
          <w:sz w:val="20"/>
        </w:rPr>
        <w:t xml:space="preserve"> </w:t>
      </w:r>
      <w:r w:rsidRPr="004A6A82">
        <w:rPr>
          <w:rFonts w:ascii="Times New Roman" w:hAnsi="Times New Roman"/>
          <w:i w:val="0"/>
          <w:color w:val="000000" w:themeColor="text1"/>
          <w:sz w:val="20"/>
        </w:rPr>
        <w:t>Número de artigos ao longo dos anos</w:t>
      </w:r>
    </w:p>
    <w:p w:rsidR="00B562F2" w:rsidRPr="004A6A82" w:rsidRDefault="00B562F2" w:rsidP="00B562F2">
      <w:pPr>
        <w:pStyle w:val="Figurecaption"/>
        <w:spacing w:after="0" w:line="360" w:lineRule="auto"/>
        <w:rPr>
          <w:rFonts w:ascii="Times New Roman" w:hAnsi="Times New Roman"/>
          <w:b/>
          <w:lang w:val="pt-BR"/>
        </w:rPr>
      </w:pPr>
      <w:r w:rsidRPr="004A6A82">
        <w:rPr>
          <w:rStyle w:val="CimodeCaptionChar"/>
          <w:rFonts w:ascii="Times New Roman" w:hAnsi="Times New Roman"/>
          <w:b w:val="0"/>
          <w:bCs/>
          <w:sz w:val="20"/>
          <w:lang w:val="pt-BR"/>
        </w:rPr>
        <w:t>Fonte: os autores (2014).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2F2"/>
    <w:rsid w:val="003C3397"/>
    <w:rsid w:val="00B5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68558D-3CEC-4161-B6AC-DB43038BA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B562F2"/>
    <w:pPr>
      <w:widowControl w:val="0"/>
      <w:spacing w:after="120" w:line="276" w:lineRule="auto"/>
    </w:pPr>
    <w:rPr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B562F2"/>
    <w:rPr>
      <w:lang w:val="en-US"/>
    </w:rPr>
  </w:style>
  <w:style w:type="paragraph" w:styleId="Legenda">
    <w:name w:val="caption"/>
    <w:basedOn w:val="Normal"/>
    <w:next w:val="Normal"/>
    <w:uiPriority w:val="35"/>
    <w:unhideWhenUsed/>
    <w:qFormat/>
    <w:rsid w:val="00B562F2"/>
    <w:pPr>
      <w:spacing w:after="200"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</w:rPr>
  </w:style>
  <w:style w:type="paragraph" w:customStyle="1" w:styleId="Figurecaption">
    <w:name w:val="Figure caption"/>
    <w:basedOn w:val="Normal"/>
    <w:link w:val="FigurecaptionChar"/>
    <w:uiPriority w:val="99"/>
    <w:rsid w:val="00B562F2"/>
    <w:pPr>
      <w:spacing w:after="120" w:line="240" w:lineRule="auto"/>
    </w:pPr>
    <w:rPr>
      <w:rFonts w:ascii="Calibri" w:eastAsia="Times New Roman" w:hAnsi="Calibri" w:cs="Times New Roman"/>
      <w:color w:val="000000"/>
      <w:sz w:val="18"/>
      <w:szCs w:val="20"/>
      <w:lang w:val="en-GB"/>
    </w:rPr>
  </w:style>
  <w:style w:type="character" w:customStyle="1" w:styleId="FigurecaptionChar">
    <w:name w:val="Figure caption Char"/>
    <w:link w:val="Figurecaption"/>
    <w:uiPriority w:val="99"/>
    <w:locked/>
    <w:rsid w:val="00B562F2"/>
    <w:rPr>
      <w:rFonts w:ascii="Calibri" w:eastAsia="Times New Roman" w:hAnsi="Calibri" w:cs="Times New Roman"/>
      <w:color w:val="000000"/>
      <w:sz w:val="18"/>
      <w:szCs w:val="20"/>
      <w:lang w:val="en-GB"/>
    </w:rPr>
  </w:style>
  <w:style w:type="paragraph" w:customStyle="1" w:styleId="CimodeCaption">
    <w:name w:val="CimodeCaption"/>
    <w:basedOn w:val="Figurecaption"/>
    <w:link w:val="CimodeCaptionChar"/>
    <w:uiPriority w:val="99"/>
    <w:rsid w:val="00B562F2"/>
    <w:rPr>
      <w:b/>
    </w:rPr>
  </w:style>
  <w:style w:type="character" w:customStyle="1" w:styleId="CimodeCaptionChar">
    <w:name w:val="CimodeCaption Char"/>
    <w:link w:val="CimodeCaption"/>
    <w:uiPriority w:val="99"/>
    <w:locked/>
    <w:rsid w:val="00B562F2"/>
    <w:rPr>
      <w:rFonts w:ascii="Calibri" w:eastAsia="Times New Roman" w:hAnsi="Calibri" w:cs="Times New Roman"/>
      <w:b/>
      <w:color w:val="000000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erry\Dropbox\00%20Mestrado%20Gustavo\Mapeamento%20MTF\Buscas\Artigos%20QE%20MTF-I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28629178215252"/>
          <c:y val="5.7508269018743112E-2"/>
          <c:w val="0.8806944689184274"/>
          <c:h val="0.71977393674743251"/>
        </c:manualLayout>
      </c:layout>
      <c:barChart>
        <c:barDir val="col"/>
        <c:grouping val="stacked"/>
        <c:varyColors val="0"/>
        <c:ser>
          <c:idx val="3"/>
          <c:order val="0"/>
          <c:tx>
            <c:strRef>
              <c:f>publicacoes_ano!$E$2</c:f>
              <c:strCache>
                <c:ptCount val="1"/>
                <c:pt idx="0">
                  <c:v>Grupo D</c:v>
                </c:pt>
              </c:strCache>
            </c:strRef>
          </c:tx>
          <c:invertIfNegative val="0"/>
          <c:cat>
            <c:strRef>
              <c:f>publicacoes_ano!$A$11:$A$32</c:f>
              <c:strCache>
                <c:ptCount val="22"/>
                <c:pt idx="0">
                  <c:v>1992</c:v>
                </c:pt>
                <c:pt idx="1">
                  <c:v>1993</c:v>
                </c:pt>
                <c:pt idx="2">
                  <c:v>1994</c:v>
                </c:pt>
                <c:pt idx="3">
                  <c:v>1995</c:v>
                </c:pt>
                <c:pt idx="4">
                  <c:v>1996</c:v>
                </c:pt>
                <c:pt idx="5">
                  <c:v>1997</c:v>
                </c:pt>
                <c:pt idx="6">
                  <c:v>1998</c:v>
                </c:pt>
                <c:pt idx="7">
                  <c:v>1999</c:v>
                </c:pt>
                <c:pt idx="8">
                  <c:v>2000</c:v>
                </c:pt>
                <c:pt idx="9">
                  <c:v>2001</c:v>
                </c:pt>
                <c:pt idx="10">
                  <c:v>2002</c:v>
                </c:pt>
                <c:pt idx="11">
                  <c:v>2003</c:v>
                </c:pt>
                <c:pt idx="12">
                  <c:v>2004</c:v>
                </c:pt>
                <c:pt idx="13">
                  <c:v>2005</c:v>
                </c:pt>
                <c:pt idx="14">
                  <c:v>2006</c:v>
                </c:pt>
                <c:pt idx="15">
                  <c:v>2007</c:v>
                </c:pt>
                <c:pt idx="16">
                  <c:v>2008</c:v>
                </c:pt>
                <c:pt idx="17">
                  <c:v>2009</c:v>
                </c:pt>
                <c:pt idx="18">
                  <c:v>2010</c:v>
                </c:pt>
                <c:pt idx="19">
                  <c:v>2011</c:v>
                </c:pt>
                <c:pt idx="20">
                  <c:v>2012</c:v>
                </c:pt>
                <c:pt idx="21">
                  <c:v>2013</c:v>
                </c:pt>
              </c:strCache>
            </c:strRef>
          </c:cat>
          <c:val>
            <c:numRef>
              <c:f>publicacoes_ano!$E$11:$E$32</c:f>
              <c:numCache>
                <c:formatCode>General</c:formatCode>
                <c:ptCount val="22"/>
                <c:pt idx="1">
                  <c:v>1</c:v>
                </c:pt>
                <c:pt idx="4">
                  <c:v>2</c:v>
                </c:pt>
                <c:pt idx="5">
                  <c:v>2</c:v>
                </c:pt>
                <c:pt idx="6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2</c:v>
                </c:pt>
              </c:numCache>
            </c:numRef>
          </c:val>
        </c:ser>
        <c:ser>
          <c:idx val="1"/>
          <c:order val="1"/>
          <c:tx>
            <c:strRef>
              <c:f>publicacoes_ano!$C$2</c:f>
              <c:strCache>
                <c:ptCount val="1"/>
                <c:pt idx="0">
                  <c:v>Grupo B</c:v>
                </c:pt>
              </c:strCache>
            </c:strRef>
          </c:tx>
          <c:invertIfNegative val="0"/>
          <c:cat>
            <c:strRef>
              <c:f>publicacoes_ano!$A$11:$A$32</c:f>
              <c:strCache>
                <c:ptCount val="22"/>
                <c:pt idx="0">
                  <c:v>1992</c:v>
                </c:pt>
                <c:pt idx="1">
                  <c:v>1993</c:v>
                </c:pt>
                <c:pt idx="2">
                  <c:v>1994</c:v>
                </c:pt>
                <c:pt idx="3">
                  <c:v>1995</c:v>
                </c:pt>
                <c:pt idx="4">
                  <c:v>1996</c:v>
                </c:pt>
                <c:pt idx="5">
                  <c:v>1997</c:v>
                </c:pt>
                <c:pt idx="6">
                  <c:v>1998</c:v>
                </c:pt>
                <c:pt idx="7">
                  <c:v>1999</c:v>
                </c:pt>
                <c:pt idx="8">
                  <c:v>2000</c:v>
                </c:pt>
                <c:pt idx="9">
                  <c:v>2001</c:v>
                </c:pt>
                <c:pt idx="10">
                  <c:v>2002</c:v>
                </c:pt>
                <c:pt idx="11">
                  <c:v>2003</c:v>
                </c:pt>
                <c:pt idx="12">
                  <c:v>2004</c:v>
                </c:pt>
                <c:pt idx="13">
                  <c:v>2005</c:v>
                </c:pt>
                <c:pt idx="14">
                  <c:v>2006</c:v>
                </c:pt>
                <c:pt idx="15">
                  <c:v>2007</c:v>
                </c:pt>
                <c:pt idx="16">
                  <c:v>2008</c:v>
                </c:pt>
                <c:pt idx="17">
                  <c:v>2009</c:v>
                </c:pt>
                <c:pt idx="18">
                  <c:v>2010</c:v>
                </c:pt>
                <c:pt idx="19">
                  <c:v>2011</c:v>
                </c:pt>
                <c:pt idx="20">
                  <c:v>2012</c:v>
                </c:pt>
                <c:pt idx="21">
                  <c:v>2013</c:v>
                </c:pt>
              </c:strCache>
            </c:strRef>
          </c:cat>
          <c:val>
            <c:numRef>
              <c:f>publicacoes_ano!$C$11:$C$32</c:f>
              <c:numCache>
                <c:formatCode>General</c:formatCode>
                <c:ptCount val="22"/>
                <c:pt idx="0">
                  <c:v>1</c:v>
                </c:pt>
                <c:pt idx="3">
                  <c:v>1</c:v>
                </c:pt>
                <c:pt idx="4">
                  <c:v>1</c:v>
                </c:pt>
                <c:pt idx="6">
                  <c:v>1</c:v>
                </c:pt>
                <c:pt idx="8">
                  <c:v>1</c:v>
                </c:pt>
                <c:pt idx="10">
                  <c:v>2</c:v>
                </c:pt>
                <c:pt idx="12">
                  <c:v>1</c:v>
                </c:pt>
                <c:pt idx="14">
                  <c:v>2</c:v>
                </c:pt>
                <c:pt idx="16">
                  <c:v>2</c:v>
                </c:pt>
                <c:pt idx="17">
                  <c:v>1</c:v>
                </c:pt>
                <c:pt idx="18">
                  <c:v>2</c:v>
                </c:pt>
                <c:pt idx="20">
                  <c:v>1</c:v>
                </c:pt>
                <c:pt idx="21">
                  <c:v>2</c:v>
                </c:pt>
              </c:numCache>
            </c:numRef>
          </c:val>
        </c:ser>
        <c:ser>
          <c:idx val="0"/>
          <c:order val="2"/>
          <c:tx>
            <c:strRef>
              <c:f>publicacoes_ano!$B$2</c:f>
              <c:strCache>
                <c:ptCount val="1"/>
                <c:pt idx="0">
                  <c:v>Grupo A</c:v>
                </c:pt>
              </c:strCache>
            </c:strRef>
          </c:tx>
          <c:invertIfNegative val="0"/>
          <c:cat>
            <c:strRef>
              <c:f>publicacoes_ano!$A$11:$A$32</c:f>
              <c:strCache>
                <c:ptCount val="22"/>
                <c:pt idx="0">
                  <c:v>1992</c:v>
                </c:pt>
                <c:pt idx="1">
                  <c:v>1993</c:v>
                </c:pt>
                <c:pt idx="2">
                  <c:v>1994</c:v>
                </c:pt>
                <c:pt idx="3">
                  <c:v>1995</c:v>
                </c:pt>
                <c:pt idx="4">
                  <c:v>1996</c:v>
                </c:pt>
                <c:pt idx="5">
                  <c:v>1997</c:v>
                </c:pt>
                <c:pt idx="6">
                  <c:v>1998</c:v>
                </c:pt>
                <c:pt idx="7">
                  <c:v>1999</c:v>
                </c:pt>
                <c:pt idx="8">
                  <c:v>2000</c:v>
                </c:pt>
                <c:pt idx="9">
                  <c:v>2001</c:v>
                </c:pt>
                <c:pt idx="10">
                  <c:v>2002</c:v>
                </c:pt>
                <c:pt idx="11">
                  <c:v>2003</c:v>
                </c:pt>
                <c:pt idx="12">
                  <c:v>2004</c:v>
                </c:pt>
                <c:pt idx="13">
                  <c:v>2005</c:v>
                </c:pt>
                <c:pt idx="14">
                  <c:v>2006</c:v>
                </c:pt>
                <c:pt idx="15">
                  <c:v>2007</c:v>
                </c:pt>
                <c:pt idx="16">
                  <c:v>2008</c:v>
                </c:pt>
                <c:pt idx="17">
                  <c:v>2009</c:v>
                </c:pt>
                <c:pt idx="18">
                  <c:v>2010</c:v>
                </c:pt>
                <c:pt idx="19">
                  <c:v>2011</c:v>
                </c:pt>
                <c:pt idx="20">
                  <c:v>2012</c:v>
                </c:pt>
                <c:pt idx="21">
                  <c:v>2013</c:v>
                </c:pt>
              </c:strCache>
            </c:strRef>
          </c:cat>
          <c:val>
            <c:numRef>
              <c:f>publicacoes_ano!$B$11:$B$32</c:f>
              <c:numCache>
                <c:formatCode>General</c:formatCode>
                <c:ptCount val="22"/>
                <c:pt idx="6">
                  <c:v>1</c:v>
                </c:pt>
                <c:pt idx="8">
                  <c:v>1</c:v>
                </c:pt>
                <c:pt idx="11">
                  <c:v>1</c:v>
                </c:pt>
                <c:pt idx="13">
                  <c:v>3</c:v>
                </c:pt>
                <c:pt idx="18">
                  <c:v>1</c:v>
                </c:pt>
                <c:pt idx="19">
                  <c:v>2</c:v>
                </c:pt>
                <c:pt idx="2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448778416"/>
        <c:axId val="448775616"/>
      </c:barChart>
      <c:catAx>
        <c:axId val="44877841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pt-BR"/>
          </a:p>
        </c:txPr>
        <c:crossAx val="448775616"/>
        <c:crosses val="autoZero"/>
        <c:auto val="1"/>
        <c:lblAlgn val="ctr"/>
        <c:lblOffset val="100"/>
        <c:noMultiLvlLbl val="0"/>
      </c:catAx>
      <c:valAx>
        <c:axId val="44877561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000"/>
                </a:pPr>
                <a:r>
                  <a:rPr lang="pt-BR" sz="1000"/>
                  <a:t>Número de artigos</a:t>
                </a:r>
              </a:p>
            </c:rich>
          </c:tx>
          <c:layout>
            <c:manualLayout>
              <c:xMode val="edge"/>
              <c:yMode val="edge"/>
              <c:x val="3.3072428618674897E-2"/>
              <c:y val="0.30097839203396154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448778416"/>
        <c:crosses val="autoZero"/>
        <c:crossBetween val="between"/>
      </c:valAx>
      <c:dTable>
        <c:showHorzBorder val="1"/>
        <c:showVertBorder val="1"/>
        <c:showOutline val="0"/>
        <c:showKeys val="1"/>
      </c:dTable>
    </c:plotArea>
    <c:plotVisOnly val="1"/>
    <c:dispBlanksAs val="gap"/>
    <c:showDLblsOverMax val="0"/>
  </c:chart>
  <c:txPr>
    <a:bodyPr/>
    <a:lstStyle/>
    <a:p>
      <a:pPr>
        <a:defRPr sz="700">
          <a:latin typeface="Times New Roman" pitchFamily="18" charset="0"/>
          <a:cs typeface="Times New Roman" pitchFamily="18" charset="0"/>
        </a:defRPr>
      </a:pPr>
      <a:endParaRPr lang="pt-B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2014-11-05T13:05:00Z</dcterms:created>
  <dcterms:modified xsi:type="dcterms:W3CDTF">2014-11-05T13:05:00Z</dcterms:modified>
</cp:coreProperties>
</file>